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95" w:rsidRDefault="006A1DA6" w:rsidP="001E14E1">
      <w:pPr>
        <w:pStyle w:val="Heading1"/>
        <w:jc w:val="center"/>
      </w:pPr>
      <w:bookmarkStart w:id="0" w:name="_GoBack"/>
      <w:r>
        <w:rPr>
          <w:noProof/>
        </w:rPr>
        <mc:AlternateContent>
          <mc:Choice Requires="wps">
            <w:drawing>
              <wp:anchor distT="0" distB="0" distL="114300" distR="114300" simplePos="0" relativeHeight="251661312" behindDoc="1" locked="0" layoutInCell="1" allowOverlap="1" wp14:anchorId="44D78A45" wp14:editId="1BE059A7">
                <wp:simplePos x="0" y="0"/>
                <wp:positionH relativeFrom="margin">
                  <wp:align>right</wp:align>
                </wp:positionH>
                <wp:positionV relativeFrom="paragraph">
                  <wp:posOffset>267335</wp:posOffset>
                </wp:positionV>
                <wp:extent cx="6848475" cy="740410"/>
                <wp:effectExtent l="0" t="0" r="0" b="0"/>
                <wp:wrapTight wrapText="bothSides">
                  <wp:wrapPolygon edited="0">
                    <wp:start x="120" y="0"/>
                    <wp:lineTo x="120" y="21028"/>
                    <wp:lineTo x="21390" y="21028"/>
                    <wp:lineTo x="21390" y="0"/>
                    <wp:lineTo x="120" y="0"/>
                  </wp:wrapPolygon>
                </wp:wrapTight>
                <wp:docPr id="6" name="Text Box 6"/>
                <wp:cNvGraphicFramePr/>
                <a:graphic xmlns:a="http://schemas.openxmlformats.org/drawingml/2006/main">
                  <a:graphicData uri="http://schemas.microsoft.com/office/word/2010/wordprocessingShape">
                    <wps:wsp>
                      <wps:cNvSpPr txBox="1"/>
                      <wps:spPr>
                        <a:xfrm>
                          <a:off x="0" y="0"/>
                          <a:ext cx="6848475" cy="740410"/>
                        </a:xfrm>
                        <a:prstGeom prst="rect">
                          <a:avLst/>
                        </a:prstGeom>
                        <a:noFill/>
                        <a:ln>
                          <a:noFill/>
                        </a:ln>
                        <a:effectLst/>
                      </wps:spPr>
                      <wps:txbx>
                        <w:txbxContent>
                          <w:p w:rsidR="00B73110" w:rsidRPr="00B73110" w:rsidRDefault="00B73110" w:rsidP="00B73110">
                            <w:pPr>
                              <w:pStyle w:val="Header"/>
                              <w:jc w:val="center"/>
                              <w:rPr>
                                <w:noProof/>
                                <w:sz w:val="72"/>
                                <w:szCs w:val="72"/>
                                <w14:glow w14:rad="101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57150" w14:contourW="0" w14:prstMaterial="warmMatte">
                                  <w14:bevelT w14:w="38100" w14:h="38100" w14:prst="angle"/>
                                </w14:props3d>
                              </w:rPr>
                            </w:pPr>
                            <w:r w:rsidRPr="00B73110">
                              <w:rPr>
                                <w:noProof/>
                                <w:sz w:val="72"/>
                                <w:szCs w:val="72"/>
                                <w14:glow w14:rad="101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57150" w14:contourW="0" w14:prstMaterial="warmMatte">
                                  <w14:bevelT w14:w="38100" w14:h="38100" w14:prst="angle"/>
                                </w14:props3d>
                              </w:rPr>
                              <w:t>SUNY ONEONTA RECRUITING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threePt" dir="t"/>
                        </a:scene3d>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w:pict>
              <v:shapetype w14:anchorId="44D78A45" id="_x0000_t202" coordsize="21600,21600" o:spt="202" path="m,l,21600r21600,l21600,xe">
                <v:stroke joinstyle="miter"/>
                <v:path gradientshapeok="t" o:connecttype="rect"/>
              </v:shapetype>
              <v:shape id="Text Box 6" o:spid="_x0000_s1026" type="#_x0000_t202" style="position:absolute;left:0;text-align:left;margin-left:488.05pt;margin-top:21.05pt;width:539.25pt;height:58.3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" filled="f" stroked="f">
                <v:fill o:detectmouseclick="t"/>
                <v:textbox style="mso-fit-shape-to-text:t">
                  <w:txbxContent>
                    <w:p w:rsidR="00B73110" w:rsidRPr="00B73110" w:rsidRDefault="00B73110" w:rsidP="00B73110">
                      <w:pPr>
                        <w:pStyle w:val="Header"/>
                        <w:jc w:val="center"/>
                        <w:rPr>
                          <w:noProof/>
                          <w:sz w:val="72"/>
                          <w:szCs w:val="72"/>
                          <w14:glow w14:rad="101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57150" w14:contourW="0" w14:prstMaterial="warmMatte">
                            <w14:bevelT w14:w="38100" w14:h="38100" w14:prst="angle"/>
                          </w14:props3d>
                        </w:rPr>
                      </w:pPr>
                      <w:r w:rsidRPr="00B73110">
                        <w:rPr>
                          <w:noProof/>
                          <w:sz w:val="72"/>
                          <w:szCs w:val="72"/>
                          <w14:glow w14:rad="101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57150" w14:contourW="0" w14:prstMaterial="warmMatte">
                            <w14:bevelT w14:w="38100" w14:h="38100" w14:prst="angle"/>
                          </w14:props3d>
                        </w:rPr>
                        <w:t>SUNY ONEONTA RECRUITING</w:t>
                      </w:r>
                    </w:p>
                  </w:txbxContent>
                </v:textbox>
                <w10:wrap type="tight" anchorx="margin"/>
              </v:shape>
            </w:pict>
          </mc:Fallback>
        </mc:AlternateContent>
      </w:r>
    </w:p>
    <w:p w:rsidR="00021995" w:rsidRDefault="00021995" w:rsidP="006A1DA6">
      <w:pPr>
        <w:pStyle w:val="Header"/>
        <w:tabs>
          <w:tab w:val="clear" w:pos="4680"/>
          <w:tab w:val="clear" w:pos="9360"/>
        </w:tabs>
        <w:spacing w:after="160" w:line="259" w:lineRule="auto"/>
      </w:pPr>
    </w:p>
    <w:p w:rsidR="00021995" w:rsidRDefault="00021995" w:rsidP="00021995"/>
    <w:p w:rsidR="00021995" w:rsidRPr="00021995" w:rsidRDefault="00021995" w:rsidP="00021995">
      <w:pPr>
        <w:sectPr w:rsidR="00021995" w:rsidRPr="00021995" w:rsidSect="00021995">
          <w:footerReference w:type="default" r:id="rId6"/>
          <w:type w:val="continuous"/>
          <w:pgSz w:w="12240" w:h="15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sep="1" w:space="1584"/>
          <w:docGrid w:linePitch="360"/>
        </w:sectPr>
      </w:pPr>
    </w:p>
    <w:p w:rsidR="001E14E1" w:rsidRDefault="001E14E1" w:rsidP="00957CD2">
      <w:pPr>
        <w:pStyle w:val="Heading1"/>
        <w:jc w:val="center"/>
      </w:pPr>
      <w:r w:rsidRPr="001E14E1">
        <w:t>Campus Facts</w:t>
      </w:r>
    </w:p>
    <w:p w:rsidR="00957CD2" w:rsidRPr="00957CD2" w:rsidRDefault="00957CD2" w:rsidP="00957CD2">
      <w:pPr>
        <w:spacing w:after="0" w:line="240" w:lineRule="auto"/>
      </w:pPr>
    </w:p>
    <w:p w:rsidR="00F45A1E" w:rsidRPr="00F45A1E" w:rsidRDefault="00F45A1E" w:rsidP="00F45A1E">
      <w:pPr>
        <w:pStyle w:val="BodyText"/>
        <w:keepNext/>
        <w:framePr w:dropCap="drop" w:lines="2" w:wrap="around" w:vAnchor="text" w:hAnchor="text"/>
        <w:spacing w:line="413" w:lineRule="exact"/>
        <w:jc w:val="both"/>
        <w:textAlignment w:val="baseline"/>
        <w:rPr>
          <w:rFonts w:ascii="Old English Text MT" w:hAnsi="Old English Text MT"/>
          <w:position w:val="-4"/>
          <w:sz w:val="48"/>
        </w:rPr>
      </w:pPr>
      <w:r w:rsidRPr="00F45A1E">
        <w:rPr>
          <w:rFonts w:ascii="Old English Text MT" w:hAnsi="Old English Text MT"/>
          <w:position w:val="-4"/>
          <w:sz w:val="48"/>
        </w:rPr>
        <w:t>T</w:t>
      </w:r>
    </w:p>
    <w:p w:rsidR="001E14E1" w:rsidRDefault="00957CD2" w:rsidP="00957CD2">
      <w:pPr>
        <w:pStyle w:val="BodyText"/>
        <w:jc w:val="both"/>
      </w:pPr>
      <w:r>
        <w:t>h</w:t>
      </w:r>
      <w:r w:rsidR="001E14E1" w:rsidRPr="001E14E1">
        <w:t>e main campus of SUNY Oneonta gives you a small town feel while providing you with 21st century facilities. The campus consists of 37 buildings located on 250 acres overlooking the city of Oneonta and the Susquehanna Valley.  The campus includes numerous classroom buildings, residences and dining halls. A main attraction is the Hunt College Union which is a focal point for many College activities, including student government, leadership programs, Greek affairs, and literary and</w:t>
      </w:r>
      <w:r w:rsidR="00F45A1E">
        <w:t xml:space="preserve"> </w:t>
      </w:r>
      <w:r w:rsidR="001E14E1" w:rsidRPr="001E14E1">
        <w:t xml:space="preserve">musical performances.  The Morris Conference Center is a full-service, year-round residential conference center available to college, community, business, and professional organizations. The Center is noted for excellence in service, dining, and lodging, all at very attractive rates. </w:t>
      </w:r>
    </w:p>
    <w:p w:rsidR="00957CD2" w:rsidRPr="001E14E1" w:rsidRDefault="00957CD2" w:rsidP="00957CD2">
      <w:pPr>
        <w:pStyle w:val="BodyText"/>
        <w:jc w:val="both"/>
      </w:pPr>
    </w:p>
    <w:p w:rsidR="00167091" w:rsidRPr="00167091" w:rsidRDefault="00167091" w:rsidP="00167091">
      <w:pPr>
        <w:keepNext/>
        <w:framePr w:dropCap="drop" w:lines="2" w:wrap="around" w:vAnchor="text" w:hAncho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13" w:lineRule="exact"/>
        <w:jc w:val="both"/>
        <w:textAlignment w:val="baseline"/>
        <w:rPr>
          <w:rFonts w:ascii="Old English Text MT" w:hAnsi="Old English Text MT"/>
          <w:noProof/>
          <w:position w:val="-4"/>
          <w:sz w:val="44"/>
        </w:rPr>
      </w:pPr>
      <w:r w:rsidRPr="001E14E1">
        <w:rPr>
          <w:rFonts w:ascii="Old English Text MT" w:eastAsia="Times New Roman" w:hAnsi="Old English Text MT" w:cs="Arial"/>
          <w:color w:val="000000"/>
          <w:position w:val="-4"/>
          <w:sz w:val="44"/>
          <w:szCs w:val="18"/>
        </w:rPr>
        <w:t>W</w:t>
      </w:r>
    </w:p>
    <w:p w:rsidR="001E14E1" w:rsidRDefault="00F45A1E" w:rsidP="0095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18"/>
          <w:szCs w:val="18"/>
        </w:rPr>
      </w:pPr>
      <w:r>
        <w:rPr>
          <w:noProof/>
        </w:rPr>
        <w:drawing>
          <wp:anchor distT="0" distB="0" distL="114300" distR="114300" simplePos="0" relativeHeight="251658240" behindDoc="1" locked="0" layoutInCell="1" allowOverlap="1" wp14:anchorId="7DB37F33" wp14:editId="6A23D42A">
            <wp:simplePos x="0" y="0"/>
            <wp:positionH relativeFrom="column">
              <wp:posOffset>1724025</wp:posOffset>
            </wp:positionH>
            <wp:positionV relativeFrom="paragraph">
              <wp:posOffset>29210</wp:posOffset>
            </wp:positionV>
            <wp:extent cx="1444752" cy="1088136"/>
            <wp:effectExtent l="0" t="0" r="3175" b="0"/>
            <wp:wrapTight wrapText="left">
              <wp:wrapPolygon edited="0">
                <wp:start x="0" y="0"/>
                <wp:lineTo x="0" y="21184"/>
                <wp:lineTo x="21363" y="21184"/>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752" cy="1088136"/>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001E14E1" w:rsidRPr="001E14E1">
        <w:rPr>
          <w:rFonts w:ascii="Arial" w:eastAsia="Times New Roman" w:hAnsi="Arial" w:cs="Arial"/>
          <w:color w:val="000000"/>
          <w:sz w:val="18"/>
          <w:szCs w:val="18"/>
        </w:rPr>
        <w:t>e</w:t>
      </w:r>
      <w:proofErr w:type="gramEnd"/>
      <w:r w:rsidR="001E14E1" w:rsidRPr="001E14E1">
        <w:rPr>
          <w:rFonts w:ascii="Arial" w:eastAsia="Times New Roman" w:hAnsi="Arial" w:cs="Arial"/>
          <w:color w:val="000000"/>
          <w:sz w:val="18"/>
          <w:szCs w:val="18"/>
        </w:rPr>
        <w:t xml:space="preserve"> are proud of the Milne Library which holds a collection of over 550,000 volumes and is the second largest within the 13 SUNY colleges of arts and sciences. The spacious facility accommodates both individual and group study and includes a 40-station computer lab. Laptops are available for use within the library, which is </w:t>
      </w:r>
      <w:r w:rsidR="00957CD2">
        <w:rPr>
          <w:rFonts w:ascii="Arial" w:eastAsia="Times New Roman" w:hAnsi="Arial" w:cs="Arial"/>
          <w:color w:val="000000"/>
          <w:sz w:val="18"/>
          <w:szCs w:val="18"/>
        </w:rPr>
        <w:t>networked for wireless access.</w:t>
      </w:r>
    </w:p>
    <w:p w:rsidR="00957CD2" w:rsidRPr="001E14E1" w:rsidRDefault="00957CD2" w:rsidP="0095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18"/>
          <w:szCs w:val="18"/>
        </w:rPr>
      </w:pPr>
    </w:p>
    <w:p w:rsidR="00167091" w:rsidRPr="00167091" w:rsidRDefault="00167091" w:rsidP="00167091">
      <w:pPr>
        <w:keepNext/>
        <w:framePr w:dropCap="drop" w:lines="2" w:wrap="around" w:vAnchor="text" w:hAncho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13" w:lineRule="exact"/>
        <w:jc w:val="both"/>
        <w:textAlignment w:val="baseline"/>
        <w:rPr>
          <w:rFonts w:ascii="Old English Text MT" w:eastAsia="Times New Roman" w:hAnsi="Old English Text MT" w:cs="Arial"/>
          <w:color w:val="000000"/>
          <w:position w:val="-4"/>
          <w:sz w:val="48"/>
          <w:szCs w:val="18"/>
        </w:rPr>
      </w:pPr>
      <w:r w:rsidRPr="001E14E1">
        <w:rPr>
          <w:rFonts w:ascii="Old English Text MT" w:eastAsia="Times New Roman" w:hAnsi="Old English Text MT" w:cs="Arial"/>
          <w:color w:val="000000"/>
          <w:position w:val="-4"/>
          <w:sz w:val="48"/>
          <w:szCs w:val="18"/>
        </w:rPr>
        <w:t>T</w:t>
      </w:r>
    </w:p>
    <w:p w:rsidR="001E14E1" w:rsidRDefault="001E14E1" w:rsidP="0095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18"/>
          <w:szCs w:val="18"/>
        </w:rPr>
      </w:pPr>
      <w:r w:rsidRPr="001E14E1">
        <w:rPr>
          <w:rFonts w:ascii="Arial" w:eastAsia="Times New Roman" w:hAnsi="Arial" w:cs="Arial"/>
          <w:color w:val="000000"/>
          <w:sz w:val="18"/>
          <w:szCs w:val="18"/>
        </w:rPr>
        <w:t>he Fine Arts Building houses programs in the visual and performing arts. The Laurence B. Goodrich Theater and the Hamblin Arena Theater share the central section of the building with the Fine Arts Gallery. It is the perfect place to sample some of the Fine Arts offerings of our university.  For cutting edge technology, visit the Instructional Resources Center which is designed to accommodate, support, and maintain all of the current technology used in the in</w:t>
      </w:r>
      <w:r w:rsidR="00957CD2">
        <w:rPr>
          <w:rFonts w:ascii="Arial" w:eastAsia="Times New Roman" w:hAnsi="Arial" w:cs="Arial"/>
          <w:color w:val="000000"/>
          <w:sz w:val="18"/>
          <w:szCs w:val="18"/>
        </w:rPr>
        <w:t>structional process on campus.</w:t>
      </w:r>
    </w:p>
    <w:p w:rsidR="00957CD2" w:rsidRPr="001E14E1" w:rsidRDefault="00957CD2" w:rsidP="0095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18"/>
          <w:szCs w:val="18"/>
        </w:rPr>
      </w:pPr>
    </w:p>
    <w:p w:rsidR="00167091" w:rsidRPr="00167091" w:rsidRDefault="00167091" w:rsidP="00167091">
      <w:pPr>
        <w:keepNext/>
        <w:framePr w:dropCap="drop" w:lines="2" w:wrap="around" w:vAnchor="text" w:hAncho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13" w:lineRule="exact"/>
        <w:jc w:val="both"/>
        <w:textAlignment w:val="baseline"/>
        <w:rPr>
          <w:rFonts w:ascii="Old English Text MT" w:eastAsia="Times New Roman" w:hAnsi="Old English Text MT" w:cs="Arial"/>
          <w:color w:val="000000"/>
          <w:position w:val="-4"/>
          <w:sz w:val="48"/>
          <w:szCs w:val="18"/>
        </w:rPr>
      </w:pPr>
      <w:r w:rsidRPr="001E14E1">
        <w:rPr>
          <w:rFonts w:ascii="Old English Text MT" w:eastAsia="Times New Roman" w:hAnsi="Old English Text MT" w:cs="Arial"/>
          <w:color w:val="000000"/>
          <w:position w:val="-4"/>
          <w:sz w:val="48"/>
          <w:szCs w:val="18"/>
        </w:rPr>
        <w:t>T</w:t>
      </w:r>
    </w:p>
    <w:p w:rsidR="001E14E1" w:rsidRDefault="001E14E1" w:rsidP="0095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18"/>
          <w:szCs w:val="18"/>
        </w:rPr>
      </w:pPr>
      <w:r w:rsidRPr="001E14E1">
        <w:rPr>
          <w:rFonts w:ascii="Arial" w:eastAsia="Times New Roman" w:hAnsi="Arial" w:cs="Arial"/>
          <w:color w:val="000000"/>
          <w:sz w:val="18"/>
          <w:szCs w:val="18"/>
        </w:rPr>
        <w:t xml:space="preserve">o make sure you stay healthy, we offer the Health and Wellness Center which provides numerous services and programs for our students.  If you are longing for some fresh air, then visit our 180-acre College Camp, located about two miles </w:t>
      </w:r>
      <w:r w:rsidRPr="001E14E1">
        <w:rPr>
          <w:rFonts w:ascii="Arial" w:eastAsia="Times New Roman" w:hAnsi="Arial" w:cs="Arial"/>
          <w:color w:val="000000"/>
          <w:sz w:val="18"/>
          <w:szCs w:val="18"/>
        </w:rPr>
        <w:t>from campus, which features an observatory, lodge, and outdoor recreational facilities.  In nearby Cooperstown, on the shores of Otsego Lake, the College owns 672 acres of woodland, pond, and shoreline that serve as an aquatic and terrestrial ecological research area for the Biological Field Station. Cooperstown is also home to the internationally acclaimed Cooperstown Graduate Program in History Museum Studies.</w:t>
      </w:r>
    </w:p>
    <w:p w:rsidR="00957CD2" w:rsidRPr="001E14E1" w:rsidRDefault="00957CD2" w:rsidP="001E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rsidR="001E14E1" w:rsidRPr="001E14E1" w:rsidRDefault="001E14E1" w:rsidP="001E14E1">
      <w:pPr>
        <w:pStyle w:val="Heading2"/>
      </w:pPr>
      <w:r w:rsidRPr="001E14E1">
        <w:t>I.T. Infrastructure</w:t>
      </w:r>
    </w:p>
    <w:p w:rsidR="00957CD2" w:rsidRDefault="00957CD2" w:rsidP="001E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rsidR="00167091" w:rsidRPr="00167091" w:rsidRDefault="00167091" w:rsidP="00167091">
      <w:pPr>
        <w:keepNext/>
        <w:framePr w:dropCap="drop" w:lines="2" w:wrap="around" w:vAnchor="text" w:hAncho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13" w:lineRule="exact"/>
        <w:jc w:val="both"/>
        <w:textAlignment w:val="baseline"/>
        <w:rPr>
          <w:rFonts w:ascii="Old English Text MT" w:eastAsia="Times New Roman" w:hAnsi="Old English Text MT" w:cs="Arial"/>
          <w:noProof/>
          <w:color w:val="000000"/>
          <w:position w:val="-4"/>
          <w:sz w:val="47"/>
          <w:szCs w:val="18"/>
        </w:rPr>
      </w:pPr>
      <w:r w:rsidRPr="001E14E1">
        <w:rPr>
          <w:rFonts w:ascii="Old English Text MT" w:eastAsia="Times New Roman" w:hAnsi="Old English Text MT" w:cs="Arial"/>
          <w:color w:val="000000"/>
          <w:position w:val="-4"/>
          <w:sz w:val="47"/>
          <w:szCs w:val="18"/>
        </w:rPr>
        <w:t>W</w:t>
      </w:r>
    </w:p>
    <w:p w:rsidR="00957CD2" w:rsidRDefault="00F45A1E" w:rsidP="0095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59264" behindDoc="1" locked="0" layoutInCell="1" allowOverlap="1" wp14:anchorId="163C158F" wp14:editId="1A13C7F9">
            <wp:simplePos x="0" y="0"/>
            <wp:positionH relativeFrom="column">
              <wp:posOffset>981075</wp:posOffset>
            </wp:positionH>
            <wp:positionV relativeFrom="paragraph">
              <wp:posOffset>680085</wp:posOffset>
            </wp:positionV>
            <wp:extent cx="1335024" cy="1417320"/>
            <wp:effectExtent l="0" t="0" r="0" b="0"/>
            <wp:wrapTight wrapText="bothSides">
              <wp:wrapPolygon edited="0">
                <wp:start x="0" y="0"/>
                <wp:lineTo x="0" y="21194"/>
                <wp:lineTo x="21271" y="21194"/>
                <wp:lineTo x="212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024" cy="1417320"/>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00957CD2" w:rsidRPr="001E14E1">
        <w:rPr>
          <w:rFonts w:ascii="Arial" w:eastAsia="Times New Roman" w:hAnsi="Arial" w:cs="Arial"/>
          <w:color w:val="000000"/>
          <w:sz w:val="18"/>
          <w:szCs w:val="18"/>
        </w:rPr>
        <w:t>e</w:t>
      </w:r>
      <w:proofErr w:type="gramEnd"/>
      <w:r w:rsidR="00957CD2" w:rsidRPr="001E14E1">
        <w:rPr>
          <w:rFonts w:ascii="Arial" w:eastAsia="Times New Roman" w:hAnsi="Arial" w:cs="Arial"/>
          <w:color w:val="000000"/>
          <w:sz w:val="18"/>
          <w:szCs w:val="18"/>
        </w:rPr>
        <w:t xml:space="preserve"> are proud to provide a saturation of wireless network signal to residence halls and academic buildings here on campus. We are currently in the process of upgrading our wireless system, with Wilber, Grant, Golding, Tobey, Higgins, Hulbert, Milne and Schumacher now using new 802.11 b/g/n® wireless access points in front of new switching hardware. The rest of our buildings use a slightly older but still very capable 802.11 b/g® access point with brand-new switch gear. Over the next couple of years we plan on replacing all of the older APs with newer units.</w:t>
      </w:r>
    </w:p>
    <w:p w:rsidR="00957CD2" w:rsidRPr="001E14E1" w:rsidRDefault="00957CD2" w:rsidP="0095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18"/>
          <w:szCs w:val="18"/>
        </w:rPr>
      </w:pPr>
    </w:p>
    <w:p w:rsidR="00167091" w:rsidRPr="00167091" w:rsidRDefault="00167091" w:rsidP="00167091">
      <w:pPr>
        <w:pStyle w:val="BodyText"/>
        <w:keepNext/>
        <w:framePr w:dropCap="drop" w:lines="2" w:wrap="around" w:vAnchor="text" w:hAnchor="text"/>
        <w:spacing w:line="413" w:lineRule="exact"/>
        <w:jc w:val="both"/>
        <w:textAlignment w:val="baseline"/>
        <w:rPr>
          <w:rFonts w:ascii="Old English Text MT" w:hAnsi="Old English Text MT"/>
          <w:position w:val="-4"/>
          <w:sz w:val="47"/>
        </w:rPr>
      </w:pPr>
      <w:r w:rsidRPr="00167091">
        <w:rPr>
          <w:rFonts w:ascii="Old English Text MT" w:hAnsi="Old English Text MT"/>
          <w:position w:val="-4"/>
          <w:sz w:val="47"/>
        </w:rPr>
        <w:t>W</w:t>
      </w:r>
    </w:p>
    <w:p w:rsidR="00957CD2" w:rsidRDefault="00957CD2" w:rsidP="00957CD2">
      <w:pPr>
        <w:pStyle w:val="BodyText"/>
        <w:jc w:val="both"/>
      </w:pPr>
      <w:r w:rsidRPr="001E14E1">
        <w:t>e have installed access points  in residence halls at a density of approximately one access point per ten students. If you walk down the hall, you will see them mounted on the wall or ceiling.</w:t>
      </w:r>
    </w:p>
    <w:p w:rsidR="00957CD2" w:rsidRPr="001E14E1" w:rsidRDefault="00957CD2" w:rsidP="00957CD2">
      <w:pPr>
        <w:pStyle w:val="BodyText"/>
        <w:jc w:val="both"/>
      </w:pPr>
    </w:p>
    <w:p w:rsidR="00167091" w:rsidRPr="00167091" w:rsidRDefault="00167091" w:rsidP="00167091">
      <w:pPr>
        <w:keepNext/>
        <w:framePr w:dropCap="drop" w:lines="2" w:wrap="around" w:vAnchor="text" w:hAncho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13" w:lineRule="exact"/>
        <w:jc w:val="both"/>
        <w:textAlignment w:val="baseline"/>
        <w:rPr>
          <w:rFonts w:ascii="Old English Text MT" w:eastAsia="Times New Roman" w:hAnsi="Old English Text MT" w:cs="Arial"/>
          <w:color w:val="000000"/>
          <w:position w:val="-4"/>
          <w:sz w:val="48"/>
          <w:szCs w:val="18"/>
        </w:rPr>
      </w:pPr>
      <w:r w:rsidRPr="001E14E1">
        <w:rPr>
          <w:rFonts w:ascii="Old English Text MT" w:eastAsia="Times New Roman" w:hAnsi="Old English Text MT" w:cs="Arial"/>
          <w:color w:val="000000"/>
          <w:position w:val="-4"/>
          <w:sz w:val="48"/>
          <w:szCs w:val="18"/>
        </w:rPr>
        <w:t>O</w:t>
      </w:r>
    </w:p>
    <w:p w:rsidR="00021995" w:rsidRDefault="00957CD2" w:rsidP="0095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18"/>
          <w:szCs w:val="18"/>
        </w:rPr>
        <w:sectPr w:rsidR="00021995" w:rsidSect="00F45A1E">
          <w:type w:val="continuous"/>
          <w:pgSz w:w="12240" w:h="15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ep="1" w:space="720"/>
          <w:docGrid w:linePitch="360"/>
        </w:sectPr>
      </w:pPr>
      <w:r w:rsidRPr="001E14E1">
        <w:rPr>
          <w:rFonts w:ascii="Arial" w:eastAsia="Times New Roman" w:hAnsi="Arial" w:cs="Arial"/>
          <w:color w:val="000000"/>
          <w:sz w:val="18"/>
          <w:szCs w:val="18"/>
        </w:rPr>
        <w:t xml:space="preserve">ur Access Points broadcast two different SSIDs, or Service Set Identifiers. One is "Red Dragon </w:t>
      </w:r>
      <w:proofErr w:type="spellStart"/>
      <w:r w:rsidRPr="001E14E1">
        <w:rPr>
          <w:rFonts w:ascii="Arial" w:eastAsia="Times New Roman" w:hAnsi="Arial" w:cs="Arial"/>
          <w:color w:val="000000"/>
          <w:sz w:val="18"/>
          <w:szCs w:val="18"/>
        </w:rPr>
        <w:t>WiFi</w:t>
      </w:r>
      <w:proofErr w:type="spellEnd"/>
      <w:r w:rsidRPr="001E14E1">
        <w:rPr>
          <w:rFonts w:ascii="Arial" w:eastAsia="Times New Roman" w:hAnsi="Arial" w:cs="Arial"/>
          <w:color w:val="000000"/>
          <w:sz w:val="18"/>
          <w:szCs w:val="18"/>
        </w:rPr>
        <w:t>"™, which is an unsecured, unencrypted connection, and the other is "Red Dragon Secure"™ which is encrypted. We recommend strongly that you use the encrypted Secure SSID unless your particular device (usually older gaming consoles) cannot use an encrypted connection. The Secure connection makes it practically impossible for anyone to capture your traffic between your machine and the AP, which is good if you are doing online banking or any other sensitive internet usag</w:t>
      </w:r>
      <w:r>
        <w:rPr>
          <w:rFonts w:ascii="Arial" w:eastAsia="Times New Roman" w:hAnsi="Arial" w:cs="Arial"/>
          <w:color w:val="000000"/>
          <w:sz w:val="18"/>
          <w:szCs w:val="18"/>
        </w:rPr>
        <w:t>e</w:t>
      </w:r>
      <w:r w:rsidR="001E14E1" w:rsidRPr="001E14E1">
        <w:rPr>
          <w:rFonts w:ascii="Arial" w:eastAsia="Times New Roman" w:hAnsi="Arial" w:cs="Arial"/>
          <w:color w:val="000000"/>
          <w:sz w:val="18"/>
          <w:szCs w:val="18"/>
        </w:rPr>
        <w:t>.</w:t>
      </w:r>
    </w:p>
    <w:p w:rsidR="001E14E1" w:rsidRPr="001E14E1" w:rsidRDefault="001E14E1" w:rsidP="001E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rsidR="001E14E1" w:rsidRDefault="001E14E1" w:rsidP="001E14E1">
      <w:pPr>
        <w:spacing w:after="0" w:line="240" w:lineRule="auto"/>
        <w:rPr>
          <w:rFonts w:ascii="Arial" w:hAnsi="Arial" w:cs="Arial"/>
          <w:sz w:val="18"/>
          <w:szCs w:val="18"/>
        </w:rPr>
      </w:pPr>
    </w:p>
    <w:p w:rsidR="001E14E1" w:rsidRDefault="001E14E1" w:rsidP="001E14E1">
      <w:pPr>
        <w:spacing w:after="0" w:line="240" w:lineRule="auto"/>
        <w:rPr>
          <w:rFonts w:ascii="Arial" w:hAnsi="Arial" w:cs="Arial"/>
          <w:sz w:val="18"/>
          <w:szCs w:val="18"/>
        </w:rPr>
      </w:pPr>
    </w:p>
    <w:tbl>
      <w:tblPr>
        <w:tblStyle w:val="TableGrid"/>
        <w:tblW w:w="10903" w:type="dxa"/>
        <w:jc w:val="center"/>
        <w:tblLook w:val="04A0" w:firstRow="1" w:lastRow="0" w:firstColumn="1" w:lastColumn="0" w:noHBand="0" w:noVBand="1"/>
      </w:tblPr>
      <w:tblGrid>
        <w:gridCol w:w="2383"/>
        <w:gridCol w:w="2297"/>
        <w:gridCol w:w="2460"/>
        <w:gridCol w:w="1701"/>
        <w:gridCol w:w="2062"/>
      </w:tblGrid>
      <w:tr w:rsidR="001E14E1" w:rsidTr="00021995">
        <w:trPr>
          <w:jc w:val="center"/>
        </w:trPr>
        <w:tc>
          <w:tcPr>
            <w:tcW w:w="2383" w:type="dxa"/>
            <w:vAlign w:val="center"/>
          </w:tcPr>
          <w:p w:rsidR="001E14E1" w:rsidRDefault="001E14E1" w:rsidP="001E14E1">
            <w:pPr>
              <w:rPr>
                <w:rFonts w:ascii="Arial" w:hAnsi="Arial" w:cs="Arial"/>
                <w:sz w:val="18"/>
                <w:szCs w:val="18"/>
              </w:rPr>
            </w:pPr>
          </w:p>
        </w:tc>
        <w:tc>
          <w:tcPr>
            <w:tcW w:w="2297" w:type="dxa"/>
            <w:vAlign w:val="center"/>
          </w:tcPr>
          <w:p w:rsidR="001E14E1" w:rsidRPr="001E14E1" w:rsidRDefault="001E14E1" w:rsidP="00021995">
            <w:pPr>
              <w:jc w:val="center"/>
              <w:rPr>
                <w:rFonts w:ascii="Lucida Calligraphy" w:hAnsi="Lucida Calligraphy" w:cs="Arial"/>
                <w:sz w:val="18"/>
                <w:szCs w:val="18"/>
              </w:rPr>
            </w:pPr>
            <w:r w:rsidRPr="001E14E1">
              <w:rPr>
                <w:rFonts w:ascii="Lucida Calligraphy" w:hAnsi="Lucida Calligraphy" w:cs="Arial"/>
                <w:sz w:val="18"/>
                <w:szCs w:val="18"/>
              </w:rPr>
              <w:t>Resident Undergrad</w:t>
            </w:r>
          </w:p>
        </w:tc>
        <w:tc>
          <w:tcPr>
            <w:tcW w:w="2460" w:type="dxa"/>
            <w:vAlign w:val="center"/>
          </w:tcPr>
          <w:p w:rsidR="001E14E1" w:rsidRPr="001E14E1" w:rsidRDefault="001E14E1" w:rsidP="00021995">
            <w:pPr>
              <w:jc w:val="center"/>
              <w:rPr>
                <w:rFonts w:ascii="Lucida Calligraphy" w:hAnsi="Lucida Calligraphy" w:cs="Arial"/>
                <w:sz w:val="18"/>
                <w:szCs w:val="18"/>
              </w:rPr>
            </w:pPr>
            <w:r w:rsidRPr="001E14E1">
              <w:rPr>
                <w:rFonts w:ascii="Lucida Calligraphy" w:hAnsi="Lucida Calligraphy" w:cs="Arial"/>
                <w:sz w:val="18"/>
                <w:szCs w:val="18"/>
              </w:rPr>
              <w:t>Nonresident Undergrad</w:t>
            </w:r>
          </w:p>
        </w:tc>
        <w:tc>
          <w:tcPr>
            <w:tcW w:w="1701" w:type="dxa"/>
            <w:vAlign w:val="center"/>
          </w:tcPr>
          <w:p w:rsidR="001E14E1" w:rsidRPr="001E14E1" w:rsidRDefault="001E14E1" w:rsidP="00021995">
            <w:pPr>
              <w:jc w:val="center"/>
              <w:rPr>
                <w:rFonts w:ascii="Lucida Calligraphy" w:hAnsi="Lucida Calligraphy" w:cs="Arial"/>
                <w:sz w:val="18"/>
                <w:szCs w:val="18"/>
              </w:rPr>
            </w:pPr>
            <w:r w:rsidRPr="001E14E1">
              <w:rPr>
                <w:rFonts w:ascii="Lucida Calligraphy" w:hAnsi="Lucida Calligraphy" w:cs="Arial"/>
                <w:sz w:val="18"/>
                <w:szCs w:val="18"/>
              </w:rPr>
              <w:t>Resident Grad</w:t>
            </w:r>
          </w:p>
        </w:tc>
        <w:tc>
          <w:tcPr>
            <w:tcW w:w="2062" w:type="dxa"/>
            <w:vAlign w:val="center"/>
          </w:tcPr>
          <w:p w:rsidR="001E14E1" w:rsidRPr="001E14E1" w:rsidRDefault="001E14E1" w:rsidP="00021995">
            <w:pPr>
              <w:jc w:val="center"/>
              <w:rPr>
                <w:rFonts w:ascii="Lucida Calligraphy" w:hAnsi="Lucida Calligraphy" w:cs="Arial"/>
                <w:sz w:val="18"/>
                <w:szCs w:val="18"/>
              </w:rPr>
            </w:pPr>
            <w:r w:rsidRPr="001E14E1">
              <w:rPr>
                <w:rFonts w:ascii="Lucida Calligraphy" w:hAnsi="Lucida Calligraphy" w:cs="Arial"/>
                <w:sz w:val="18"/>
                <w:szCs w:val="18"/>
              </w:rPr>
              <w:t>Nonresident Grad</w:t>
            </w:r>
          </w:p>
        </w:tc>
      </w:tr>
      <w:tr w:rsidR="001E14E1" w:rsidTr="00021995">
        <w:trPr>
          <w:trHeight w:val="287"/>
          <w:jc w:val="center"/>
        </w:trPr>
        <w:tc>
          <w:tcPr>
            <w:tcW w:w="2383" w:type="dxa"/>
            <w:vAlign w:val="center"/>
          </w:tcPr>
          <w:p w:rsidR="001E14E1" w:rsidRPr="001E14E1" w:rsidRDefault="001E14E1" w:rsidP="001E14E1">
            <w:pPr>
              <w:rPr>
                <w:rFonts w:ascii="Franklin Gothic Book" w:hAnsi="Franklin Gothic Book" w:cs="Arial"/>
                <w:sz w:val="24"/>
                <w:szCs w:val="24"/>
              </w:rPr>
            </w:pPr>
            <w:r>
              <w:rPr>
                <w:rFonts w:ascii="Franklin Gothic Book" w:hAnsi="Franklin Gothic Book" w:cs="Arial"/>
                <w:sz w:val="24"/>
                <w:szCs w:val="24"/>
              </w:rPr>
              <w:t>Tuition</w:t>
            </w:r>
          </w:p>
        </w:tc>
        <w:tc>
          <w:tcPr>
            <w:tcW w:w="2297" w:type="dxa"/>
            <w:vAlign w:val="center"/>
          </w:tcPr>
          <w:p w:rsidR="001E14E1" w:rsidRPr="001E14E1" w:rsidRDefault="001E14E1" w:rsidP="001E14E1">
            <w:pPr>
              <w:jc w:val="right"/>
              <w:rPr>
                <w:rFonts w:ascii="Bookman Old Style" w:hAnsi="Bookman Old Style" w:cs="Arial"/>
                <w:sz w:val="28"/>
                <w:szCs w:val="28"/>
              </w:rPr>
            </w:pPr>
            <w:r>
              <w:rPr>
                <w:rFonts w:ascii="Bookman Old Style" w:hAnsi="Bookman Old Style" w:cs="Arial"/>
                <w:sz w:val="28"/>
                <w:szCs w:val="28"/>
              </w:rPr>
              <w:t>$2785.00</w:t>
            </w:r>
          </w:p>
        </w:tc>
        <w:tc>
          <w:tcPr>
            <w:tcW w:w="2460" w:type="dxa"/>
            <w:vAlign w:val="center"/>
          </w:tcPr>
          <w:p w:rsidR="001E14E1" w:rsidRPr="001E14E1" w:rsidRDefault="001E14E1" w:rsidP="001E14E1">
            <w:pPr>
              <w:jc w:val="right"/>
              <w:rPr>
                <w:rFonts w:ascii="Bookman Old Style" w:hAnsi="Bookman Old Style" w:cs="Arial"/>
                <w:sz w:val="28"/>
                <w:szCs w:val="28"/>
              </w:rPr>
            </w:pPr>
            <w:r>
              <w:rPr>
                <w:rFonts w:ascii="Bookman Old Style" w:hAnsi="Bookman Old Style" w:cs="Arial"/>
                <w:sz w:val="28"/>
                <w:szCs w:val="28"/>
              </w:rPr>
              <w:t>$4685.00</w:t>
            </w:r>
          </w:p>
        </w:tc>
        <w:tc>
          <w:tcPr>
            <w:tcW w:w="1701" w:type="dxa"/>
            <w:vAlign w:val="center"/>
          </w:tcPr>
          <w:p w:rsidR="001E14E1" w:rsidRPr="001E14E1" w:rsidRDefault="001E14E1" w:rsidP="001E14E1">
            <w:pPr>
              <w:jc w:val="right"/>
              <w:rPr>
                <w:rFonts w:ascii="Bookman Old Style" w:hAnsi="Bookman Old Style" w:cs="Arial"/>
                <w:sz w:val="28"/>
                <w:szCs w:val="28"/>
              </w:rPr>
            </w:pPr>
            <w:r>
              <w:rPr>
                <w:rFonts w:ascii="Bookman Old Style" w:hAnsi="Bookman Old Style" w:cs="Arial"/>
                <w:sz w:val="28"/>
                <w:szCs w:val="28"/>
              </w:rPr>
              <w:t>$7410.00</w:t>
            </w:r>
          </w:p>
        </w:tc>
        <w:tc>
          <w:tcPr>
            <w:tcW w:w="2062" w:type="dxa"/>
            <w:vAlign w:val="center"/>
          </w:tcPr>
          <w:p w:rsidR="001E14E1" w:rsidRPr="001E14E1" w:rsidRDefault="001E14E1" w:rsidP="001E14E1">
            <w:pPr>
              <w:jc w:val="right"/>
              <w:rPr>
                <w:rFonts w:ascii="Bookman Old Style" w:hAnsi="Bookman Old Style" w:cs="Arial"/>
                <w:sz w:val="28"/>
                <w:szCs w:val="28"/>
              </w:rPr>
            </w:pPr>
            <w:r>
              <w:rPr>
                <w:rFonts w:ascii="Bookman Old Style" w:hAnsi="Bookman Old Style" w:cs="Arial"/>
                <w:sz w:val="28"/>
                <w:szCs w:val="28"/>
              </w:rPr>
              <w:t>$8430.00</w:t>
            </w:r>
          </w:p>
        </w:tc>
      </w:tr>
      <w:tr w:rsidR="001E14E1" w:rsidTr="00021995">
        <w:trPr>
          <w:jc w:val="center"/>
        </w:trPr>
        <w:tc>
          <w:tcPr>
            <w:tcW w:w="2383" w:type="dxa"/>
            <w:vAlign w:val="center"/>
          </w:tcPr>
          <w:p w:rsidR="001E14E1" w:rsidRPr="001E14E1" w:rsidRDefault="001E14E1" w:rsidP="001E14E1">
            <w:pPr>
              <w:rPr>
                <w:rFonts w:ascii="Franklin Gothic Book" w:hAnsi="Franklin Gothic Book" w:cs="Arial"/>
                <w:sz w:val="24"/>
                <w:szCs w:val="24"/>
              </w:rPr>
            </w:pPr>
            <w:r>
              <w:rPr>
                <w:rFonts w:ascii="Franklin Gothic Book" w:hAnsi="Franklin Gothic Book" w:cs="Arial"/>
                <w:sz w:val="24"/>
                <w:szCs w:val="24"/>
              </w:rPr>
              <w:t>Comprehensive Fee</w:t>
            </w:r>
          </w:p>
        </w:tc>
        <w:tc>
          <w:tcPr>
            <w:tcW w:w="2297" w:type="dxa"/>
            <w:vAlign w:val="center"/>
          </w:tcPr>
          <w:p w:rsidR="001E14E1" w:rsidRPr="001E14E1" w:rsidRDefault="001E14E1" w:rsidP="001E14E1">
            <w:pPr>
              <w:jc w:val="right"/>
              <w:rPr>
                <w:rFonts w:ascii="Bookman Old Style" w:hAnsi="Bookman Old Style" w:cs="Arial"/>
                <w:sz w:val="28"/>
                <w:szCs w:val="28"/>
              </w:rPr>
            </w:pPr>
            <w:r>
              <w:rPr>
                <w:rFonts w:ascii="Bookman Old Style" w:hAnsi="Bookman Old Style" w:cs="Arial"/>
                <w:sz w:val="28"/>
                <w:szCs w:val="28"/>
              </w:rPr>
              <w:t>$658.50</w:t>
            </w:r>
          </w:p>
        </w:tc>
        <w:tc>
          <w:tcPr>
            <w:tcW w:w="2460" w:type="dxa"/>
            <w:vAlign w:val="center"/>
          </w:tcPr>
          <w:p w:rsidR="001E14E1" w:rsidRPr="001E14E1" w:rsidRDefault="00021995" w:rsidP="001E14E1">
            <w:pPr>
              <w:jc w:val="right"/>
              <w:rPr>
                <w:rFonts w:ascii="Bookman Old Style" w:hAnsi="Bookman Old Style" w:cs="Arial"/>
                <w:sz w:val="28"/>
                <w:szCs w:val="28"/>
              </w:rPr>
            </w:pPr>
            <w:r>
              <w:rPr>
                <w:rFonts w:ascii="Bookman Old Style" w:hAnsi="Bookman Old Style" w:cs="Arial"/>
                <w:sz w:val="28"/>
                <w:szCs w:val="28"/>
              </w:rPr>
              <w:t>$658.50</w:t>
            </w:r>
          </w:p>
        </w:tc>
        <w:tc>
          <w:tcPr>
            <w:tcW w:w="1701" w:type="dxa"/>
            <w:vAlign w:val="center"/>
          </w:tcPr>
          <w:p w:rsidR="001E14E1" w:rsidRPr="001E14E1" w:rsidRDefault="00021995" w:rsidP="001E14E1">
            <w:pPr>
              <w:jc w:val="right"/>
              <w:rPr>
                <w:rFonts w:ascii="Bookman Old Style" w:hAnsi="Bookman Old Style" w:cs="Arial"/>
                <w:sz w:val="28"/>
                <w:szCs w:val="28"/>
              </w:rPr>
            </w:pPr>
            <w:r>
              <w:rPr>
                <w:rFonts w:ascii="Bookman Old Style" w:hAnsi="Bookman Old Style" w:cs="Arial"/>
                <w:sz w:val="28"/>
                <w:szCs w:val="28"/>
              </w:rPr>
              <w:t>$471.00</w:t>
            </w:r>
          </w:p>
        </w:tc>
        <w:tc>
          <w:tcPr>
            <w:tcW w:w="2062" w:type="dxa"/>
            <w:vAlign w:val="center"/>
          </w:tcPr>
          <w:p w:rsidR="001E14E1" w:rsidRPr="001E14E1" w:rsidRDefault="00021995" w:rsidP="001E14E1">
            <w:pPr>
              <w:jc w:val="right"/>
              <w:rPr>
                <w:rFonts w:ascii="Bookman Old Style" w:hAnsi="Bookman Old Style" w:cs="Arial"/>
                <w:sz w:val="28"/>
                <w:szCs w:val="28"/>
              </w:rPr>
            </w:pPr>
            <w:r>
              <w:rPr>
                <w:rFonts w:ascii="Bookman Old Style" w:hAnsi="Bookman Old Style" w:cs="Arial"/>
                <w:sz w:val="28"/>
                <w:szCs w:val="28"/>
              </w:rPr>
              <w:t>$471.00</w:t>
            </w:r>
          </w:p>
        </w:tc>
      </w:tr>
      <w:bookmarkEnd w:id="0"/>
    </w:tbl>
    <w:p w:rsidR="001E14E1" w:rsidRPr="001E14E1" w:rsidRDefault="001E14E1" w:rsidP="001E14E1">
      <w:pPr>
        <w:spacing w:after="0" w:line="240" w:lineRule="auto"/>
        <w:rPr>
          <w:rFonts w:ascii="Arial" w:hAnsi="Arial" w:cs="Arial"/>
          <w:sz w:val="18"/>
          <w:szCs w:val="18"/>
        </w:rPr>
      </w:pPr>
    </w:p>
    <w:sectPr w:rsidR="001E14E1" w:rsidRPr="001E14E1" w:rsidSect="00021995">
      <w:type w:val="continuous"/>
      <w:pgSz w:w="12240" w:h="15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995" w:rsidRDefault="00021995" w:rsidP="00021995">
      <w:pPr>
        <w:spacing w:after="0" w:line="240" w:lineRule="auto"/>
      </w:pPr>
      <w:r>
        <w:separator/>
      </w:r>
    </w:p>
  </w:endnote>
  <w:endnote w:type="continuationSeparator" w:id="0">
    <w:p w:rsidR="00021995" w:rsidRDefault="00021995" w:rsidP="0002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95" w:rsidRPr="00957CD2" w:rsidRDefault="00957CD2">
    <w:pPr>
      <w:pStyle w:val="Footer"/>
      <w:rPr>
        <w:rFonts w:ascii="Times New Roman" w:hAnsi="Times New Roman" w:cs="Times New Roman"/>
        <w:sz w:val="16"/>
        <w:szCs w:val="16"/>
      </w:rPr>
    </w:pPr>
    <w:r w:rsidRPr="00957CD2">
      <w:rPr>
        <w:rFonts w:ascii="Times New Roman" w:hAnsi="Times New Roman" w:cs="Times New Roman"/>
        <w:sz w:val="16"/>
        <w:szCs w:val="16"/>
      </w:rPr>
      <w:fldChar w:fldCharType="begin"/>
    </w:r>
    <w:r w:rsidRPr="00957CD2">
      <w:rPr>
        <w:rFonts w:ascii="Times New Roman" w:hAnsi="Times New Roman" w:cs="Times New Roman"/>
        <w:sz w:val="16"/>
        <w:szCs w:val="16"/>
      </w:rPr>
      <w:instrText xml:space="preserve"> DATE \@ "dddd, MMMM d, yyyy" </w:instrText>
    </w:r>
    <w:r w:rsidRPr="00957CD2">
      <w:rPr>
        <w:rFonts w:ascii="Times New Roman" w:hAnsi="Times New Roman" w:cs="Times New Roman"/>
        <w:sz w:val="16"/>
        <w:szCs w:val="16"/>
      </w:rPr>
      <w:fldChar w:fldCharType="separate"/>
    </w:r>
    <w:r w:rsidRPr="00957CD2">
      <w:rPr>
        <w:rFonts w:ascii="Times New Roman" w:hAnsi="Times New Roman" w:cs="Times New Roman"/>
        <w:noProof/>
        <w:sz w:val="16"/>
        <w:szCs w:val="16"/>
      </w:rPr>
      <w:t>Tuesday, October 11, 2016</w:t>
    </w:r>
    <w:r w:rsidRPr="00957CD2">
      <w:rPr>
        <w:rFonts w:ascii="Times New Roman" w:hAnsi="Times New Roman" w:cs="Times New Roman"/>
        <w:sz w:val="16"/>
        <w:szCs w:val="16"/>
      </w:rPr>
      <w:fldChar w:fldCharType="end"/>
    </w:r>
    <w:r w:rsidRPr="00957CD2">
      <w:rPr>
        <w:rFonts w:ascii="Times New Roman" w:hAnsi="Times New Roman" w:cs="Times New Roman"/>
        <w:sz w:val="16"/>
        <w:szCs w:val="16"/>
      </w:rPr>
      <w:ptab w:relativeTo="margin" w:alignment="center" w:leader="none"/>
    </w:r>
    <w:r w:rsidRPr="00957CD2">
      <w:rPr>
        <w:rFonts w:ascii="Times New Roman" w:hAnsi="Times New Roman" w:cs="Times New Roman"/>
        <w:sz w:val="16"/>
        <w:szCs w:val="16"/>
      </w:rPr>
      <w:t>Don Allison</w:t>
    </w:r>
    <w:r w:rsidRPr="00957CD2">
      <w:rPr>
        <w:rFonts w:ascii="Times New Roman" w:hAnsi="Times New Roman" w:cs="Times New Roman"/>
        <w:sz w:val="16"/>
        <w:szCs w:val="16"/>
      </w:rPr>
      <w:ptab w:relativeTo="margin" w:alignment="right" w:leader="none"/>
    </w:r>
    <w:r w:rsidRPr="00957CD2">
      <w:rPr>
        <w:rFonts w:ascii="Times New Roman" w:hAnsi="Times New Roman" w:cs="Times New Roman"/>
        <w:sz w:val="16"/>
        <w:szCs w:val="16"/>
      </w:rPr>
      <w:t xml:space="preserve">Page </w:t>
    </w:r>
    <w:r w:rsidRPr="00957CD2">
      <w:rPr>
        <w:rFonts w:ascii="Times New Roman" w:hAnsi="Times New Roman" w:cs="Times New Roman"/>
        <w:sz w:val="16"/>
        <w:szCs w:val="16"/>
      </w:rPr>
      <w:fldChar w:fldCharType="begin"/>
    </w:r>
    <w:r w:rsidRPr="00957CD2">
      <w:rPr>
        <w:rFonts w:ascii="Times New Roman" w:hAnsi="Times New Roman" w:cs="Times New Roman"/>
        <w:sz w:val="16"/>
        <w:szCs w:val="16"/>
      </w:rPr>
      <w:instrText xml:space="preserve"> PAGE   \* MERGEFORMAT </w:instrText>
    </w:r>
    <w:r w:rsidRPr="00957CD2">
      <w:rPr>
        <w:rFonts w:ascii="Times New Roman" w:hAnsi="Times New Roman" w:cs="Times New Roman"/>
        <w:sz w:val="16"/>
        <w:szCs w:val="16"/>
      </w:rPr>
      <w:fldChar w:fldCharType="separate"/>
    </w:r>
    <w:r w:rsidR="00F07B8B">
      <w:rPr>
        <w:rFonts w:ascii="Times New Roman" w:hAnsi="Times New Roman" w:cs="Times New Roman"/>
        <w:noProof/>
        <w:sz w:val="16"/>
        <w:szCs w:val="16"/>
      </w:rPr>
      <w:t>1</w:t>
    </w:r>
    <w:r w:rsidRPr="00957CD2">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995" w:rsidRDefault="00021995" w:rsidP="00021995">
      <w:pPr>
        <w:spacing w:after="0" w:line="240" w:lineRule="auto"/>
      </w:pPr>
      <w:r>
        <w:separator/>
      </w:r>
    </w:p>
  </w:footnote>
  <w:footnote w:type="continuationSeparator" w:id="0">
    <w:p w:rsidR="00021995" w:rsidRDefault="00021995" w:rsidP="00021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E1"/>
    <w:rsid w:val="00021995"/>
    <w:rsid w:val="00040C44"/>
    <w:rsid w:val="00167091"/>
    <w:rsid w:val="001E14E1"/>
    <w:rsid w:val="006A1DA6"/>
    <w:rsid w:val="00957CD2"/>
    <w:rsid w:val="00B73110"/>
    <w:rsid w:val="00F07B8B"/>
    <w:rsid w:val="00F4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79CE272E-2790-46CE-9D41-9E51A9A0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4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rPr>
      <w:rFonts w:ascii="Perpetua Titling MT" w:eastAsia="Times New Roman" w:hAnsi="Perpetua Titling MT" w:cs="Arial"/>
      <w:color w:val="000000"/>
      <w:sz w:val="32"/>
      <w:szCs w:val="32"/>
    </w:rPr>
  </w:style>
  <w:style w:type="paragraph" w:styleId="Heading2">
    <w:name w:val="heading 2"/>
    <w:basedOn w:val="Normal"/>
    <w:next w:val="Normal"/>
    <w:link w:val="Heading2Char"/>
    <w:uiPriority w:val="9"/>
    <w:unhideWhenUsed/>
    <w:qFormat/>
    <w:rsid w:val="001E14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pPr>
    <w:rPr>
      <w:rFonts w:ascii="Perpetua Titling MT" w:eastAsia="Times New Roman" w:hAnsi="Perpetua Titling MT" w:cs="Arial"/>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14E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E14E1"/>
    <w:rPr>
      <w:rFonts w:ascii="Perpetua Titling MT" w:eastAsia="Times New Roman" w:hAnsi="Perpetua Titling MT" w:cs="Arial"/>
      <w:color w:val="000000"/>
      <w:sz w:val="32"/>
      <w:szCs w:val="32"/>
    </w:rPr>
  </w:style>
  <w:style w:type="character" w:customStyle="1" w:styleId="Heading2Char">
    <w:name w:val="Heading 2 Char"/>
    <w:basedOn w:val="DefaultParagraphFont"/>
    <w:link w:val="Heading2"/>
    <w:uiPriority w:val="9"/>
    <w:rsid w:val="001E14E1"/>
    <w:rPr>
      <w:rFonts w:ascii="Perpetua Titling MT" w:eastAsia="Times New Roman" w:hAnsi="Perpetua Titling MT" w:cs="Arial"/>
      <w:color w:val="000000"/>
      <w:sz w:val="32"/>
      <w:szCs w:val="32"/>
    </w:rPr>
  </w:style>
  <w:style w:type="table" w:styleId="TableGrid">
    <w:name w:val="Table Grid"/>
    <w:basedOn w:val="TableNormal"/>
    <w:uiPriority w:val="39"/>
    <w:rsid w:val="001E1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995"/>
  </w:style>
  <w:style w:type="paragraph" w:styleId="Footer">
    <w:name w:val="footer"/>
    <w:basedOn w:val="Normal"/>
    <w:link w:val="FooterChar"/>
    <w:uiPriority w:val="99"/>
    <w:unhideWhenUsed/>
    <w:rsid w:val="0002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995"/>
  </w:style>
  <w:style w:type="paragraph" w:styleId="BodyText">
    <w:name w:val="Body Text"/>
    <w:basedOn w:val="Normal"/>
    <w:link w:val="BodyTextChar"/>
    <w:uiPriority w:val="99"/>
    <w:unhideWhenUsed/>
    <w:rsid w:val="0095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color w:val="000000"/>
      <w:sz w:val="18"/>
      <w:szCs w:val="18"/>
    </w:rPr>
  </w:style>
  <w:style w:type="character" w:customStyle="1" w:styleId="BodyTextChar">
    <w:name w:val="Body Text Char"/>
    <w:basedOn w:val="DefaultParagraphFont"/>
    <w:link w:val="BodyText"/>
    <w:uiPriority w:val="99"/>
    <w:rsid w:val="00957CD2"/>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Allison</dc:creator>
  <cp:keywords/>
  <dc:description/>
  <cp:lastModifiedBy>Don Allison</cp:lastModifiedBy>
  <cp:revision>1</cp:revision>
  <dcterms:created xsi:type="dcterms:W3CDTF">2016-10-12T02:50:00Z</dcterms:created>
  <dcterms:modified xsi:type="dcterms:W3CDTF">2016-10-12T04:09:00Z</dcterms:modified>
</cp:coreProperties>
</file>